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E" w:rsidRPr="007F5EFE" w:rsidRDefault="007F5EFE" w:rsidP="007F5EF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FE">
        <w:rPr>
          <w:rFonts w:ascii="Tahoma" w:eastAsia="Times New Roman" w:hAnsi="Tahoma" w:cs="B Nazanin" w:hint="cs"/>
          <w:b/>
          <w:bCs/>
          <w:color w:val="943634"/>
          <w:sz w:val="28"/>
          <w:szCs w:val="28"/>
          <w:rtl/>
          <w:lang w:bidi="fa-IR"/>
        </w:rPr>
        <w:t>اساسنامه مرکز :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  <w:lang w:bidi="fa-IR"/>
        </w:rPr>
        <w:t> </w:t>
      </w:r>
      <w:r w:rsidRPr="007F5EF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  <w:lang w:bidi="fa-IR"/>
        </w:rPr>
        <w:t>ماده ا :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به منظور گسترش پژوهش و ارائه راه حل در امور بهداشتی درمانی و به موجب این اساسنامه مرکز تحقیقات اعتیاد که در این اساسنامه ( مرکز تحقیقات</w:t>
      </w:r>
      <w:r w:rsidRPr="007F5EFE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  <w:lang w:bidi="fa-IR"/>
        </w:rPr>
        <w:t>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) نامیده می شود برای تامین اهداف زیر مورد موافقت اصولی قرار گرفت .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  <w:lang w:bidi="fa-IR"/>
        </w:rPr>
        <w:t>ماده 2 :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1-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توسعه و به کار گیری دانش بشری در زمینه</w:t>
      </w:r>
      <w:r w:rsidRPr="007F5EFE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  <w:lang w:bidi="fa-IR"/>
        </w:rPr>
        <w:t>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علم اعتیاد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2-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انجام پژوهش های بنیادی اپیدمیولوژیک و بالینی در جهت اصلاح نظام ارائه خدمات بهداشتی درمانی کشور به منظور جوابگویی به نیازهای جامعه اسلامی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3-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انجام مطالعات در زمینه بومی سازی فرآیند درمان منطبق بر باورها ، آداب و رسوم الزامات منطقه ای و استانی غرب کشور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4-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جمع آوری ، تنظیم وطبقه بندی اسناد ، مقالات و مدرک مربوطه و انتشار آن ها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5-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تربیت نیروی انسانی محقق در زمینه اعتیاد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6-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ترغیب ، تشویق و به کار گیری محققین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7-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کوشش در جهت توجه و همکاری مراکز تحقیقاتی و اجرایی مربوطه در داخل کشور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8-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همکاری علمی با مراکز تحقیقاتی و آموزشی سایر کشورها و سازمان های بین المللی با رعایت قوانین و مقررات دولت جمهوری اسلامی ایران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9-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ارائه خدمات مشاوره ، آموزش و تحقیقاتی به سایر موسسات و نهادهای ذیمدخل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10-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تحقیق ، طراحی وتدوین روش ها ، ابزار های نوین در زمینه پیشگیری ودرمان اعتیاد منطبق بر واقعیت ها و الزامات جامعه ایرانی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11-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طراحی ، تدوین ، تالیف ، ترجمه ،چاپ و نشرکتب و انواع رسانه های مکتوب و غیر مکتوب در رمینه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افزایش آگاهی عمومی وتخصصی نسبت به بیماری اعتیاد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  <w:lang w:bidi="fa-IR"/>
        </w:rPr>
        <w:t> </w:t>
      </w:r>
    </w:p>
    <w:p w:rsid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  <w:lang w:bidi="fa-IR"/>
        </w:rPr>
        <w:t>ماده 3: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الف : شورایعالی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ب : رئیس مرکز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  <w:lang w:bidi="fa-IR"/>
        </w:rPr>
        <w:t> 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  <w:lang w:bidi="fa-IR"/>
        </w:rPr>
        <w:t>ماده 4 :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1-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رئیس دانشگاه علوم پزشکی وخدمات بهداشتی درمانی کرمانشاه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2-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معاون پژوهشی دانشگاه علوم پزشکی وخدمات بهداشتی درمانی کرمانشاه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3-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معاون امور بهداشتی دانشگاه علوم پزشکی وخدمات بهداشتی درمانی کرمانشاه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4-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معاون امور درمان دانشگاه علوم پزشکی وخدمات بهداشتی درمانی کرمانشاه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5-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رئیس مرکز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6-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سه نفر از اعضا ء هیات علمی مرکز با پیشنهاد رئیس مرکز و تایید رئیس دانشگاه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  <w:lang w:bidi="fa-IR"/>
        </w:rPr>
        <w:t>ماده 5 :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وظایف شورایعالی به شرح زیر میباشد :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  <w:lang w:bidi="fa-IR"/>
        </w:rPr>
        <w:t> 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1-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تصویب خط مشی پژوهشی مرکز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2-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تصویب طرح های همکاری با سایر دانشگاه ها و موسسات آموزشی پژوهشی</w:t>
      </w:r>
      <w:r w:rsidRPr="007F5EFE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  <w:lang w:bidi="fa-IR"/>
        </w:rPr>
        <w:t>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داخل و خارج کشور و سازمان های بین المللی مطلبق مقررات و ضوابط مربوطه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3-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برسی و تصویب گزارش سالانه فعالیت های مرکز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4-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برسی و تصویب بودجه سالانه مرکز در محدوده اعبارات تخصیصی و با رعایت ضوابط قانونی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5-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تصویب دستور العمل های مربوطه به امور داخلی شورای عالی اجرایی مرکز تحقیقات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6-</w:t>
      </w:r>
      <w:r w:rsidRPr="007F5E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پیشنهاد سازمان تشکیلات مرکز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left="108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تبصره:</w:t>
      </w:r>
      <w:r w:rsidRPr="007F5EFE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  <w:lang w:bidi="fa-IR"/>
        </w:rPr>
        <w:t>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مصوبات شورایعالی مرکز براساس سیاست ها و خط مش ها و هماهنگی با وزارت بهداشت ، درمان و آموزش پزشکی خواهد بود</w:t>
      </w:r>
    </w:p>
    <w:p w:rsid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B Nazanin"/>
          <w:b/>
          <w:bCs/>
          <w:color w:val="FF0000"/>
          <w:sz w:val="24"/>
          <w:szCs w:val="24"/>
          <w:lang w:bidi="fa-IR"/>
        </w:rPr>
      </w:pP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ماده 6 :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رئیس مرکز به پیشنهاد شورایعالی مرکز و حکم رئیس دانشگاه علوم پزشکی هر چهار سال یک بار</w:t>
      </w:r>
      <w:r w:rsidRPr="007F5EFE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  <w:lang w:bidi="fa-IR"/>
        </w:rPr>
        <w:t>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منصوب می گردد و انتخاب مجدد او بلامانع است .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  <w:lang w:bidi="fa-IR"/>
        </w:rPr>
        <w:t>ماده 7 :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رئیس مرکز بالاترین مقام اجرایی مرکز است و در حدود ضوابط قانونی و مصوب شورایعالی جهت اجرای</w:t>
      </w:r>
      <w:r w:rsidRPr="007F5EFE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  <w:lang w:bidi="fa-IR"/>
        </w:rPr>
        <w:t>  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وظایف و امور محوله اقدام می نماید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  <w:lang w:bidi="fa-IR"/>
        </w:rPr>
        <w:t>  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  <w:lang w:bidi="fa-IR"/>
        </w:rPr>
        <w:t>ماده 8 :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اعضاء مرکز دارای دو نوع عضو به شرح زیر می باشد :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الف : اعضاء پیوسته : که اعضای هیات علمی و کارشناسان مرکز هستند .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ب : اعضاء وابسته : که اعضای هیات علمی و سایر گروه های دانشگاه علوم پزشکی و یا سایر دانشگاه ها و موسسات آموزش عالی هستند .</w:t>
      </w:r>
    </w:p>
    <w:p w:rsid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B Nazanin"/>
          <w:b/>
          <w:bCs/>
          <w:color w:val="FF0000"/>
          <w:sz w:val="24"/>
          <w:szCs w:val="24"/>
          <w:lang w:bidi="fa-IR"/>
        </w:rPr>
      </w:pP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rPr>
          <w:rFonts w:ascii="Tahoma" w:eastAsia="Times New Roman" w:hAnsi="Tahoma" w:cs="Tahoma"/>
          <w:color w:val="000000"/>
          <w:sz w:val="21"/>
          <w:szCs w:val="21"/>
          <w:rtl/>
        </w:rPr>
      </w:pPr>
      <w:bookmarkStart w:id="0" w:name="_GoBack"/>
      <w:bookmarkEnd w:id="0"/>
      <w:r w:rsidRPr="007F5EF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  <w:lang w:bidi="fa-IR"/>
        </w:rPr>
        <w:t>ماده9 :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منابع مالی مرکز :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الف : درآمدهای حاصله از خدمات مرکز طبق ضوابط قانونی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ب : کمک و هدایای اشخاص حقیقی و حقوقی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ج : اعتبارات دولتی در صورت تخصیص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با توجه به مصوبه 30/2/81 شورای گسترش دانشگاه های علوم پزشکی این اساسنامه در 9 ماده و یک تبصره به تصویب رسید .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بدیهی</w:t>
      </w:r>
      <w:r w:rsidRPr="007F5EFE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  <w:lang w:bidi="fa-IR"/>
        </w:rPr>
        <w:t>  </w:t>
      </w:r>
      <w:r w:rsidRPr="007F5EF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است در صورتیکه طبق ضوابط دستور العمل اجرایی نحوه اخذ مجوزتاسیس مرکز تحقیقاتی علوم پزشکی( دولتی ، غیر دولتی ) و نحوه ارزشیابی آنها مصوب 30/2/81 شورای گسترش دانشگاه ها ، مرکز مذکور در مهلت پیش بینی شده، موفق به اخذ موافقت نهایی نگردید ، این اساسنامه بلا اثر خواهند شد .</w:t>
      </w:r>
    </w:p>
    <w:p w:rsidR="007F5EFE" w:rsidRPr="007F5EFE" w:rsidRDefault="007F5EFE" w:rsidP="007F5EFE">
      <w:pPr>
        <w:shd w:val="clear" w:color="auto" w:fill="FFFFFF"/>
        <w:bidi/>
        <w:spacing w:after="15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7F5EF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E01883" w:rsidRDefault="00E01883"/>
    <w:sectPr w:rsidR="00E018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E6" w:rsidRDefault="001163E6" w:rsidP="007F5EFE">
      <w:pPr>
        <w:spacing w:after="0" w:line="240" w:lineRule="auto"/>
      </w:pPr>
      <w:r>
        <w:separator/>
      </w:r>
    </w:p>
  </w:endnote>
  <w:endnote w:type="continuationSeparator" w:id="0">
    <w:p w:rsidR="001163E6" w:rsidRDefault="001163E6" w:rsidP="007F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E6" w:rsidRDefault="001163E6" w:rsidP="007F5EFE">
      <w:pPr>
        <w:spacing w:after="0" w:line="240" w:lineRule="auto"/>
      </w:pPr>
      <w:r>
        <w:separator/>
      </w:r>
    </w:p>
  </w:footnote>
  <w:footnote w:type="continuationSeparator" w:id="0">
    <w:p w:rsidR="001163E6" w:rsidRDefault="001163E6" w:rsidP="007F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E" w:rsidRDefault="007F5EFE">
    <w:pPr>
      <w:pStyle w:val="Header"/>
    </w:pPr>
    <w:r>
      <w:rPr>
        <w:rFonts w:ascii="Times New Roman" w:hAnsi="Times New Roman" w:cs="B Nazanin"/>
        <w:b/>
        <w:bCs/>
        <w:noProof/>
        <w:sz w:val="20"/>
        <w:szCs w:val="20"/>
        <w:rtl/>
      </w:rPr>
      <w:drawing>
        <wp:anchor distT="0" distB="0" distL="114300" distR="114300" simplePos="0" relativeHeight="251659264" behindDoc="0" locked="0" layoutInCell="1" allowOverlap="1" wp14:anchorId="424BAC9C" wp14:editId="6C29A4C0">
          <wp:simplePos x="0" y="0"/>
          <wp:positionH relativeFrom="margin">
            <wp:posOffset>-323850</wp:posOffset>
          </wp:positionH>
          <wp:positionV relativeFrom="topMargin">
            <wp:align>bottom</wp:align>
          </wp:positionV>
          <wp:extent cx="869950" cy="624205"/>
          <wp:effectExtent l="0" t="0" r="6350" b="4445"/>
          <wp:wrapSquare wrapText="bothSides"/>
          <wp:docPr id="3" name="Picture 2" descr="C:\Users\cr7\Pictures\لوگو مرکز تحقيقات پيشگيري سوء مصرف مواد-00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7\Pictures\لوگو مرکز تحقيقات پيشگيري سوء مصرف مواد-001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394" t="19095" r="15407" b="11514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FE"/>
    <w:rsid w:val="001163E6"/>
    <w:rsid w:val="007F5EFE"/>
    <w:rsid w:val="00E0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CD0C9-01B6-4235-AD4E-3B095DDC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FE"/>
  </w:style>
  <w:style w:type="paragraph" w:styleId="Footer">
    <w:name w:val="footer"/>
    <w:basedOn w:val="Normal"/>
    <w:link w:val="FooterChar"/>
    <w:uiPriority w:val="99"/>
    <w:unhideWhenUsed/>
    <w:rsid w:val="007F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</dc:creator>
  <cp:keywords/>
  <dc:description/>
  <cp:lastModifiedBy>Tahghighat</cp:lastModifiedBy>
  <cp:revision>1</cp:revision>
  <dcterms:created xsi:type="dcterms:W3CDTF">2020-02-25T04:33:00Z</dcterms:created>
  <dcterms:modified xsi:type="dcterms:W3CDTF">2020-02-25T04:36:00Z</dcterms:modified>
</cp:coreProperties>
</file>