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513" w:tblpY="-450"/>
        <w:bidiVisual/>
        <w:tblW w:w="10302" w:type="dxa"/>
        <w:tblLook w:val="04A0" w:firstRow="1" w:lastRow="0" w:firstColumn="1" w:lastColumn="0" w:noHBand="0" w:noVBand="1"/>
      </w:tblPr>
      <w:tblGrid>
        <w:gridCol w:w="946"/>
        <w:gridCol w:w="2126"/>
        <w:gridCol w:w="7230"/>
      </w:tblGrid>
      <w:tr w:rsidR="00D73CEF" w:rsidRPr="00D612FC" w14:paraId="407B32D5" w14:textId="77777777" w:rsidTr="00D612FC">
        <w:tc>
          <w:tcPr>
            <w:tcW w:w="946" w:type="dxa"/>
          </w:tcPr>
          <w:p w14:paraId="6C34C5D2" w14:textId="00FC19CF" w:rsidR="00D73CEF" w:rsidRPr="00D612FC" w:rsidRDefault="00D73CEF" w:rsidP="00D612FC">
            <w:pPr>
              <w:bidi w:val="0"/>
              <w:jc w:val="center"/>
              <w:rPr>
                <w:rFonts w:ascii="Times New Roman" w:hAnsi="Times New Roman" w:cs="2  Nazanin"/>
                <w:b/>
                <w:bCs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126" w:type="dxa"/>
          </w:tcPr>
          <w:p w14:paraId="3F95F4BD" w14:textId="61B06488" w:rsidR="00D73CEF" w:rsidRPr="00D612FC" w:rsidRDefault="00D73CEF" w:rsidP="00D612FC">
            <w:pPr>
              <w:bidi w:val="0"/>
              <w:jc w:val="center"/>
              <w:rPr>
                <w:rFonts w:ascii="Times New Roman" w:hAnsi="Times New Roman" w:cs="2  Nazanin"/>
                <w:b/>
                <w:bCs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7230" w:type="dxa"/>
          </w:tcPr>
          <w:p w14:paraId="76DABC6A" w14:textId="48326107" w:rsidR="00D73CEF" w:rsidRPr="00D612FC" w:rsidRDefault="00D73CEF" w:rsidP="00D612FC">
            <w:pPr>
              <w:bidi w:val="0"/>
              <w:jc w:val="center"/>
              <w:rPr>
                <w:rFonts w:ascii="Times New Roman" w:hAnsi="Times New Roman" w:cs="2  Nazanin"/>
                <w:b/>
                <w:bCs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b/>
                <w:bCs/>
                <w:sz w:val="20"/>
                <w:szCs w:val="20"/>
              </w:rPr>
              <w:t>Title</w:t>
            </w:r>
          </w:p>
        </w:tc>
      </w:tr>
      <w:tr w:rsidR="00D73CEF" w:rsidRPr="00D612FC" w14:paraId="15588695" w14:textId="77777777" w:rsidTr="00D612FC">
        <w:tc>
          <w:tcPr>
            <w:tcW w:w="946" w:type="dxa"/>
          </w:tcPr>
          <w:p w14:paraId="099790FD" w14:textId="4116E63F" w:rsidR="00D73CEF" w:rsidRPr="00D612FC" w:rsidRDefault="00D73CEF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  <w:rtl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16A1F5A1" w14:textId="42FBF4D5" w:rsidR="00D73CEF" w:rsidRPr="00D612FC" w:rsidRDefault="00D73CEF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  <w:rtl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Dr. Borhan Mansouri</w:t>
            </w:r>
          </w:p>
        </w:tc>
        <w:tc>
          <w:tcPr>
            <w:tcW w:w="7230" w:type="dxa"/>
          </w:tcPr>
          <w:p w14:paraId="2A80A87B" w14:textId="77777777" w:rsidR="00D73CEF" w:rsidRPr="00D612FC" w:rsidRDefault="00D73CEF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Health risk assessment of heavy metals for humans</w:t>
            </w:r>
          </w:p>
          <w:p w14:paraId="5E58F269" w14:textId="784C8469" w:rsidR="000F6301" w:rsidRPr="00D612FC" w:rsidRDefault="000F6301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  <w:rtl/>
              </w:rPr>
            </w:pPr>
          </w:p>
        </w:tc>
      </w:tr>
      <w:tr w:rsidR="00EF7E40" w:rsidRPr="00D612FC" w14:paraId="0A510952" w14:textId="77777777" w:rsidTr="00D612FC">
        <w:tc>
          <w:tcPr>
            <w:tcW w:w="946" w:type="dxa"/>
          </w:tcPr>
          <w:p w14:paraId="0DDD464B" w14:textId="0188F606" w:rsidR="00EF7E40" w:rsidRPr="00D612FC" w:rsidRDefault="00EF7E40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  <w:rtl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7CDE683C" w14:textId="7E530092" w:rsidR="00EF7E40" w:rsidRPr="00D612FC" w:rsidRDefault="00EF7E40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  <w:rtl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Dr. Borhan Mansouri</w:t>
            </w:r>
          </w:p>
        </w:tc>
        <w:tc>
          <w:tcPr>
            <w:tcW w:w="7230" w:type="dxa"/>
          </w:tcPr>
          <w:p w14:paraId="4B9C08F9" w14:textId="309D1A07" w:rsidR="000F6301" w:rsidRPr="00D612FC" w:rsidRDefault="00EF7E40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Tissue pathology in the exposure to environmental</w:t>
            </w:r>
          </w:p>
          <w:p w14:paraId="7B51C074" w14:textId="24CC45BC" w:rsidR="00EF7E40" w:rsidRPr="00D612FC" w:rsidRDefault="00EF7E40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pollutants</w:t>
            </w:r>
          </w:p>
        </w:tc>
      </w:tr>
      <w:tr w:rsidR="00F5061B" w:rsidRPr="00D612FC" w14:paraId="3E42F113" w14:textId="77777777" w:rsidTr="00D612FC">
        <w:trPr>
          <w:trHeight w:val="705"/>
        </w:trPr>
        <w:tc>
          <w:tcPr>
            <w:tcW w:w="946" w:type="dxa"/>
          </w:tcPr>
          <w:p w14:paraId="2B556EF7" w14:textId="4B2E4225" w:rsidR="00F5061B" w:rsidRPr="00D612FC" w:rsidRDefault="00F110B2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  <w:rtl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14:paraId="13B26E85" w14:textId="15FC58E9" w:rsidR="00F77527" w:rsidRPr="00D612FC" w:rsidRDefault="00F5061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Translated by Dr.</w:t>
            </w:r>
          </w:p>
          <w:p w14:paraId="078EC15E" w14:textId="189B2A4C" w:rsidR="00F5061B" w:rsidRPr="00D612FC" w:rsidRDefault="00F5061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Borhan Mansouri</w:t>
            </w:r>
          </w:p>
        </w:tc>
        <w:tc>
          <w:tcPr>
            <w:tcW w:w="7230" w:type="dxa"/>
          </w:tcPr>
          <w:p w14:paraId="78986104" w14:textId="77777777" w:rsidR="00F5061B" w:rsidRPr="00D612FC" w:rsidRDefault="00F5061B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Pollution: Treating Environmental Toxins</w:t>
            </w:r>
          </w:p>
          <w:p w14:paraId="0A9CD924" w14:textId="3C1123D4" w:rsidR="000F6301" w:rsidRPr="00D612FC" w:rsidRDefault="000F6301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AD2333" w:rsidRPr="00D612FC" w14:paraId="7D59E628" w14:textId="77777777" w:rsidTr="00D612FC">
        <w:tc>
          <w:tcPr>
            <w:tcW w:w="946" w:type="dxa"/>
          </w:tcPr>
          <w:p w14:paraId="2702E610" w14:textId="7060C479" w:rsidR="00AD2333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3540BD18" w14:textId="44F85CC8" w:rsidR="00AD2333" w:rsidRPr="00D612FC" w:rsidRDefault="00AD2333" w:rsidP="00D612FC">
            <w:pPr>
              <w:bidi w:val="0"/>
              <w:jc w:val="center"/>
              <w:rPr>
                <w:rFonts w:ascii="Courier New" w:eastAsia="Times New Roman" w:hAnsi="Courier New" w:cs="2  Nazanin"/>
                <w:sz w:val="20"/>
                <w:szCs w:val="20"/>
              </w:rPr>
            </w:pPr>
            <w:r w:rsidRPr="00AD2333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Dr.</w:t>
            </w:r>
            <w:r w:rsidRPr="00AD2333">
              <w:rPr>
                <w:rFonts w:ascii="Courier New" w:eastAsia="Times New Roman" w:hAnsi="Courier New" w:cs="2  Nazani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D2333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Hossein</w:t>
            </w:r>
            <w:r w:rsidRPr="00D612FC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.</w:t>
            </w:r>
            <w:r w:rsidRPr="00D612FC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Zaleh</w:t>
            </w:r>
            <w:proofErr w:type="spellEnd"/>
          </w:p>
        </w:tc>
        <w:tc>
          <w:tcPr>
            <w:tcW w:w="7230" w:type="dxa"/>
          </w:tcPr>
          <w:p w14:paraId="0133469C" w14:textId="0CEB985F" w:rsidR="000F6301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AD2333">
              <w:rPr>
                <w:rFonts w:ascii="Times New Roman" w:hAnsi="Times New Roman" w:cs="2  Nazanin"/>
                <w:sz w:val="20"/>
                <w:szCs w:val="20"/>
              </w:rPr>
              <w:t>Methamphetamine and Molecular Mechanism</w:t>
            </w:r>
          </w:p>
          <w:p w14:paraId="1249F0B5" w14:textId="08CED0F7" w:rsidR="00AD2333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AD2333">
              <w:rPr>
                <w:rFonts w:ascii="Times New Roman" w:hAnsi="Times New Roman" w:cs="2  Nazanin"/>
                <w:sz w:val="20"/>
                <w:szCs w:val="20"/>
              </w:rPr>
              <w:t>induced neurotoxicity.</w:t>
            </w:r>
          </w:p>
          <w:p w14:paraId="0FA30DED" w14:textId="13D69BAA" w:rsidR="00AD2333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AD2333" w:rsidRPr="00D612FC" w14:paraId="4D22EC27" w14:textId="77777777" w:rsidTr="00D612FC">
        <w:tc>
          <w:tcPr>
            <w:tcW w:w="946" w:type="dxa"/>
          </w:tcPr>
          <w:p w14:paraId="54C7C61C" w14:textId="25B5AE6A" w:rsidR="00AD2333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0F07FB70" w14:textId="149B6254" w:rsidR="00AD2333" w:rsidRPr="00D612FC" w:rsidRDefault="00AD2333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AD2333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Dr.</w:t>
            </w:r>
            <w:r w:rsidRPr="00AD2333">
              <w:rPr>
                <w:rFonts w:ascii="Courier New" w:eastAsia="Times New Roman" w:hAnsi="Courier New" w:cs="2  Nazani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D2333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Hossein</w:t>
            </w:r>
            <w:r w:rsidRPr="00D612FC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.Zaleh</w:t>
            </w:r>
            <w:proofErr w:type="spellEnd"/>
          </w:p>
        </w:tc>
        <w:tc>
          <w:tcPr>
            <w:tcW w:w="7230" w:type="dxa"/>
          </w:tcPr>
          <w:p w14:paraId="5A01475D" w14:textId="77777777" w:rsidR="00AD2333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Morphine and neurotoxicity</w:t>
            </w:r>
            <w:r w:rsidRPr="00D612FC">
              <w:rPr>
                <w:rFonts w:ascii="Times New Roman" w:hAnsi="Times New Roman" w:cs="2  Nazanin"/>
                <w:sz w:val="20"/>
                <w:szCs w:val="20"/>
              </w:rPr>
              <w:t>.</w:t>
            </w:r>
          </w:p>
          <w:p w14:paraId="4045B44E" w14:textId="27288EF6" w:rsidR="000F6301" w:rsidRPr="00D612FC" w:rsidRDefault="000F6301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AD2333" w:rsidRPr="00D612FC" w14:paraId="5CA824AD" w14:textId="77777777" w:rsidTr="00D612FC">
        <w:tc>
          <w:tcPr>
            <w:tcW w:w="946" w:type="dxa"/>
          </w:tcPr>
          <w:p w14:paraId="2B59DD4D" w14:textId="3B975D50" w:rsidR="00AD2333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318B9C07" w14:textId="2817DA2D" w:rsidR="00AD2333" w:rsidRPr="00D612FC" w:rsidRDefault="00AD2333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AD2333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Dr.</w:t>
            </w:r>
            <w:r w:rsidRPr="00AD2333">
              <w:rPr>
                <w:rFonts w:ascii="Courier New" w:eastAsia="Times New Roman" w:hAnsi="Courier New" w:cs="2  Nazani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D2333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Hossein</w:t>
            </w:r>
            <w:r w:rsidRPr="00D612FC">
              <w:rPr>
                <w:rFonts w:ascii="Times New Roman" w:eastAsia="Calibri" w:hAnsi="Times New Roman" w:cs="2  Nazanin"/>
                <w:sz w:val="20"/>
                <w:szCs w:val="20"/>
                <w:lang w:bidi="ar-SA"/>
              </w:rPr>
              <w:t>.Zaleh</w:t>
            </w:r>
            <w:proofErr w:type="spellEnd"/>
          </w:p>
        </w:tc>
        <w:tc>
          <w:tcPr>
            <w:tcW w:w="7230" w:type="dxa"/>
          </w:tcPr>
          <w:p w14:paraId="671941C2" w14:textId="4EA49B1E" w:rsidR="00AD2333" w:rsidRPr="00AD2333" w:rsidRDefault="00AD2333" w:rsidP="00D612FC">
            <w:pPr>
              <w:bidi w:val="0"/>
              <w:rPr>
                <w:rFonts w:ascii="Times New Roman" w:hAnsi="Times New Roman" w:cs="2  Nazanin" w:hint="cs"/>
                <w:sz w:val="20"/>
                <w:szCs w:val="20"/>
                <w:rtl/>
              </w:rPr>
            </w:pPr>
            <w:r w:rsidRPr="00AD2333">
              <w:rPr>
                <w:rFonts w:ascii="Times New Roman" w:hAnsi="Times New Roman" w:cs="2  Nazanin"/>
                <w:sz w:val="20"/>
                <w:szCs w:val="20"/>
              </w:rPr>
              <w:t>TLR receptors</w:t>
            </w:r>
            <w:r w:rsidRPr="00D612FC">
              <w:rPr>
                <w:rFonts w:ascii="Times New Roman" w:hAnsi="Times New Roman" w:cs="2  Nazanin"/>
                <w:sz w:val="20"/>
                <w:szCs w:val="20"/>
              </w:rPr>
              <w:t>.</w:t>
            </w:r>
          </w:p>
          <w:p w14:paraId="53ED9634" w14:textId="77777777" w:rsidR="00AD2333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AD2333" w:rsidRPr="00D612FC" w14:paraId="5B4A1697" w14:textId="77777777" w:rsidTr="00D612FC">
        <w:tc>
          <w:tcPr>
            <w:tcW w:w="946" w:type="dxa"/>
          </w:tcPr>
          <w:p w14:paraId="4C3D734A" w14:textId="33A5A1EF" w:rsidR="00AD2333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6C7CB09A" w14:textId="577BA651" w:rsidR="00AD2333" w:rsidRPr="00D612FC" w:rsidRDefault="00C35FE2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Dr.Nasrin</w:t>
            </w:r>
            <w:proofErr w:type="spellEnd"/>
            <w:proofErr w:type="gramEnd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abdoli</w:t>
            </w:r>
            <w:proofErr w:type="spellEnd"/>
          </w:p>
        </w:tc>
        <w:tc>
          <w:tcPr>
            <w:tcW w:w="7230" w:type="dxa"/>
          </w:tcPr>
          <w:p w14:paraId="02AA4521" w14:textId="77777777" w:rsidR="00AD2333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  <w:p w14:paraId="546C68B5" w14:textId="5DF9D48C" w:rsidR="000F6301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Substance Abuse Prevention Research Center, Health Institute, Kermanshah University of Medical Sciences (98) Model of driving behavior based on personality traits, mental health, aggression and reaction time.</w:t>
            </w:r>
          </w:p>
          <w:p w14:paraId="068FF22B" w14:textId="2B361265" w:rsidR="00C35FE2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C35FE2" w:rsidRPr="00D612FC" w14:paraId="56265D2C" w14:textId="77777777" w:rsidTr="00D612FC">
        <w:tc>
          <w:tcPr>
            <w:tcW w:w="946" w:type="dxa"/>
          </w:tcPr>
          <w:p w14:paraId="08D6257A" w14:textId="761E5A92" w:rsidR="00C35FE2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1A687232" w14:textId="121B2D93" w:rsidR="00C35FE2" w:rsidRPr="00D612FC" w:rsidRDefault="00C35FE2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Dr.Nasrin</w:t>
            </w:r>
            <w:proofErr w:type="spellEnd"/>
            <w:proofErr w:type="gramEnd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755225"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A</w:t>
            </w:r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bdoli</w:t>
            </w:r>
            <w:proofErr w:type="spellEnd"/>
          </w:p>
        </w:tc>
        <w:tc>
          <w:tcPr>
            <w:tcW w:w="7230" w:type="dxa"/>
          </w:tcPr>
          <w:p w14:paraId="57E51EE4" w14:textId="77777777" w:rsidR="003327E5" w:rsidRPr="00D612FC" w:rsidRDefault="003327E5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  <w:p w14:paraId="58B7AD1C" w14:textId="327BF14E" w:rsidR="00C35FE2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 xml:space="preserve">he role of WHO training in </w:t>
            </w:r>
            <w:r w:rsidRPr="00D612FC">
              <w:rPr>
                <w:rFonts w:ascii="Times New Roman" w:hAnsi="Times New Roman" w:cs="2  Nazanin"/>
                <w:sz w:val="20"/>
                <w:szCs w:val="20"/>
              </w:rPr>
              <w:t xml:space="preserve">effective </w:t>
            </w:r>
            <w:r w:rsidRPr="00D612FC">
              <w:rPr>
                <w:rFonts w:ascii="Times New Roman" w:hAnsi="Times New Roman" w:cs="2  Nazanin"/>
                <w:sz w:val="20"/>
                <w:szCs w:val="20"/>
              </w:rPr>
              <w:t xml:space="preserve">communication </w:t>
            </w:r>
            <w:proofErr w:type="gramStart"/>
            <w:r w:rsidRPr="00D612FC">
              <w:rPr>
                <w:rFonts w:ascii="Times New Roman" w:hAnsi="Times New Roman" w:cs="2  Nazanin"/>
                <w:sz w:val="20"/>
                <w:szCs w:val="20"/>
              </w:rPr>
              <w:t>and  control</w:t>
            </w:r>
            <w:proofErr w:type="gramEnd"/>
            <w:r w:rsidRPr="00D612FC">
              <w:rPr>
                <w:rFonts w:ascii="Times New Roman" w:hAnsi="Times New Roman" w:cs="2  Nazanin"/>
                <w:sz w:val="20"/>
                <w:szCs w:val="20"/>
              </w:rPr>
              <w:t xml:space="preserve"> anger.</w:t>
            </w:r>
          </w:p>
          <w:p w14:paraId="33F19679" w14:textId="592AC440" w:rsidR="00C35FE2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C35FE2" w:rsidRPr="00D612FC" w14:paraId="4A628915" w14:textId="77777777" w:rsidTr="00D612FC">
        <w:tc>
          <w:tcPr>
            <w:tcW w:w="946" w:type="dxa"/>
          </w:tcPr>
          <w:p w14:paraId="56D84BD1" w14:textId="7A326BF2" w:rsidR="00C35FE2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42E17841" w14:textId="681CC1E7" w:rsidR="00C35FE2" w:rsidRPr="00D612FC" w:rsidRDefault="00C35FE2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Dr.Nasrin</w:t>
            </w:r>
            <w:proofErr w:type="spellEnd"/>
            <w:proofErr w:type="gramEnd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755225"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A</w:t>
            </w:r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bdoli</w:t>
            </w:r>
            <w:proofErr w:type="spellEnd"/>
          </w:p>
        </w:tc>
        <w:tc>
          <w:tcPr>
            <w:tcW w:w="7230" w:type="dxa"/>
          </w:tcPr>
          <w:p w14:paraId="04B792F3" w14:textId="77777777" w:rsidR="003327E5" w:rsidRPr="00D612FC" w:rsidRDefault="003327E5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  <w:p w14:paraId="4CF0E188" w14:textId="0BDEFDB4" w:rsidR="00C35FE2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Emotional management in crises and unforeseen events in hospitals and disasters 2020-2021.</w:t>
            </w:r>
          </w:p>
          <w:p w14:paraId="5ECF1B98" w14:textId="1978DE32" w:rsidR="00C35FE2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AD2333" w:rsidRPr="00D612FC" w14:paraId="114BADC5" w14:textId="77777777" w:rsidTr="00D612FC">
        <w:tc>
          <w:tcPr>
            <w:tcW w:w="946" w:type="dxa"/>
          </w:tcPr>
          <w:p w14:paraId="5251D202" w14:textId="007185AD" w:rsidR="00AD2333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14:paraId="27F26DCC" w14:textId="026162C7" w:rsidR="00AD2333" w:rsidRPr="00D612FC" w:rsidRDefault="00001D4B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Dr.Nasrin</w:t>
            </w:r>
            <w:proofErr w:type="spellEnd"/>
            <w:proofErr w:type="gramEnd"/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755225"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A</w:t>
            </w:r>
            <w:r w:rsidRPr="00D612FC">
              <w:rPr>
                <w:rFonts w:ascii="Arial" w:eastAsia="Times New Roman" w:hAnsi="Arial" w:cs="2  Nazanin"/>
                <w:color w:val="222222"/>
                <w:sz w:val="20"/>
                <w:szCs w:val="20"/>
              </w:rPr>
              <w:t>bdoli</w:t>
            </w:r>
            <w:proofErr w:type="spellEnd"/>
          </w:p>
        </w:tc>
        <w:tc>
          <w:tcPr>
            <w:tcW w:w="7230" w:type="dxa"/>
          </w:tcPr>
          <w:p w14:paraId="01CC8A36" w14:textId="77777777" w:rsidR="00AD2333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  <w:p w14:paraId="6D85FC71" w14:textId="4541310E" w:rsidR="003327E5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The Effects of Social Support on mental health of Medical Staff Treating Patients with Coronavirus Disease 2019 (COVID-19) in January and February</w:t>
            </w:r>
          </w:p>
          <w:p w14:paraId="1A6AE123" w14:textId="118D1C5E" w:rsidR="000F6301" w:rsidRPr="00D612FC" w:rsidRDefault="00C35FE2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2020.</w:t>
            </w:r>
          </w:p>
        </w:tc>
      </w:tr>
      <w:tr w:rsidR="00AD2333" w:rsidRPr="00D612FC" w14:paraId="221F505D" w14:textId="77777777" w:rsidTr="00D612FC">
        <w:tc>
          <w:tcPr>
            <w:tcW w:w="946" w:type="dxa"/>
          </w:tcPr>
          <w:p w14:paraId="1F61352F" w14:textId="24951C19" w:rsidR="00AD2333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6F420757" w14:textId="4F561843" w:rsidR="00AD2333" w:rsidRPr="00D612FC" w:rsidRDefault="00755225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Times New Roman" w:hAnsi="Times New Roman"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6926644C" w14:textId="77777777" w:rsidR="00AD2333" w:rsidRPr="00D612FC" w:rsidRDefault="00AD2333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  <w:p w14:paraId="53208872" w14:textId="403ACEFC" w:rsidR="000F6301" w:rsidRPr="00D612FC" w:rsidRDefault="00755225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cs="2  Nazanin"/>
                <w:sz w:val="20"/>
                <w:szCs w:val="20"/>
              </w:rPr>
              <w:t>Addiction; A Disease of Learning and Memory.</w:t>
            </w:r>
          </w:p>
        </w:tc>
      </w:tr>
      <w:tr w:rsidR="0036755A" w:rsidRPr="00D612FC" w14:paraId="5A860A5A" w14:textId="77777777" w:rsidTr="00D612FC">
        <w:tc>
          <w:tcPr>
            <w:tcW w:w="946" w:type="dxa"/>
          </w:tcPr>
          <w:p w14:paraId="3D8C162D" w14:textId="3DD63428" w:rsidR="0036755A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14:paraId="423B88A0" w14:textId="5A2F5430" w:rsidR="0036755A" w:rsidRPr="00D612FC" w:rsidRDefault="0036755A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00F53886" w14:textId="19A87994" w:rsidR="0036755A" w:rsidRPr="00D612FC" w:rsidRDefault="0036755A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cs="2  Nazanin"/>
                <w:sz w:val="20"/>
                <w:szCs w:val="20"/>
              </w:rPr>
              <w:t>REM sleep deprivation impairs retrieval, but not reconsolidation, of methamphetamine reward memory in male rats.</w:t>
            </w:r>
          </w:p>
        </w:tc>
      </w:tr>
      <w:tr w:rsidR="0036755A" w:rsidRPr="00D612FC" w14:paraId="18AB216D" w14:textId="77777777" w:rsidTr="00D612FC">
        <w:tc>
          <w:tcPr>
            <w:tcW w:w="946" w:type="dxa"/>
          </w:tcPr>
          <w:p w14:paraId="143D8C01" w14:textId="036111FE" w:rsidR="0036755A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1830C25B" w14:textId="64BDA587" w:rsidR="0036755A" w:rsidRPr="00D612FC" w:rsidRDefault="0036755A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Times New Roman" w:hAnsi="Times New Roman"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62CE0948" w14:textId="77777777" w:rsidR="0036755A" w:rsidRPr="00FE4A3C" w:rsidRDefault="0036755A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FE4A3C">
              <w:rPr>
                <w:rFonts w:ascii="Times New Roman" w:hAnsi="Times New Roman" w:cs="2  Nazanin"/>
                <w:sz w:val="20"/>
                <w:szCs w:val="20"/>
              </w:rPr>
              <w:t>The connection between addiction and the memory system</w:t>
            </w:r>
          </w:p>
          <w:p w14:paraId="219CD52F" w14:textId="77777777" w:rsidR="0036755A" w:rsidRPr="00D612FC" w:rsidRDefault="0036755A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36755A" w:rsidRPr="00D612FC" w14:paraId="0FA3BA7F" w14:textId="77777777" w:rsidTr="00D612FC">
        <w:tc>
          <w:tcPr>
            <w:tcW w:w="946" w:type="dxa"/>
          </w:tcPr>
          <w:p w14:paraId="518EF68B" w14:textId="372D8545" w:rsidR="0036755A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14:paraId="74951CD1" w14:textId="5A84220E" w:rsidR="0036755A" w:rsidRPr="00D612FC" w:rsidRDefault="0036755A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Times New Roman" w:hAnsi="Times New Roman"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423E1030" w14:textId="77777777" w:rsidR="0036755A" w:rsidRPr="00FE4A3C" w:rsidRDefault="0036755A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FE4A3C">
              <w:rPr>
                <w:rFonts w:ascii="Times New Roman" w:hAnsi="Times New Roman" w:cs="2  Nazanin"/>
                <w:sz w:val="20"/>
                <w:szCs w:val="20"/>
              </w:rPr>
              <w:t>The relationship between sleep disorders or lack of addiction</w:t>
            </w:r>
          </w:p>
          <w:p w14:paraId="177F7477" w14:textId="77777777" w:rsidR="0036755A" w:rsidRPr="00D612FC" w:rsidRDefault="0036755A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36755A" w:rsidRPr="00D612FC" w14:paraId="6F733CEB" w14:textId="77777777" w:rsidTr="00D612FC">
        <w:tc>
          <w:tcPr>
            <w:tcW w:w="946" w:type="dxa"/>
          </w:tcPr>
          <w:p w14:paraId="6C2BED5C" w14:textId="26A5CDFB" w:rsidR="0036755A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6C3DDB5B" w14:textId="1A1B5026" w:rsidR="0036755A" w:rsidRPr="00D612FC" w:rsidRDefault="0036755A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Times New Roman" w:hAnsi="Times New Roman"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38801064" w14:textId="77777777" w:rsidR="0036755A" w:rsidRPr="00FE4A3C" w:rsidRDefault="0036755A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FE4A3C">
              <w:rPr>
                <w:rFonts w:ascii="Times New Roman" w:hAnsi="Times New Roman" w:cs="2  Nazanin"/>
                <w:sz w:val="20"/>
                <w:szCs w:val="20"/>
              </w:rPr>
              <w:t>Effects of addiction on inflammation of the nervous system</w:t>
            </w:r>
          </w:p>
          <w:p w14:paraId="1C15127E" w14:textId="77777777" w:rsidR="0036755A" w:rsidRPr="00D612FC" w:rsidRDefault="0036755A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36755A" w:rsidRPr="00D612FC" w14:paraId="192994C1" w14:textId="77777777" w:rsidTr="00D612FC">
        <w:tc>
          <w:tcPr>
            <w:tcW w:w="946" w:type="dxa"/>
          </w:tcPr>
          <w:p w14:paraId="37052040" w14:textId="6F1FB25A" w:rsidR="0036755A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5AB2FB49" w14:textId="24DE8C36" w:rsidR="0036755A" w:rsidRPr="00D612FC" w:rsidRDefault="0036755A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Times New Roman" w:hAnsi="Times New Roman"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64A5448A" w14:textId="77777777" w:rsidR="0036755A" w:rsidRPr="00FE4A3C" w:rsidRDefault="0036755A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FE4A3C">
              <w:rPr>
                <w:rFonts w:ascii="Times New Roman" w:hAnsi="Times New Roman" w:cs="2  Nazanin"/>
                <w:sz w:val="20"/>
                <w:szCs w:val="20"/>
              </w:rPr>
              <w:t>Effects of nervous system inflammation on memory system function</w:t>
            </w:r>
          </w:p>
          <w:p w14:paraId="1F5EF6AA" w14:textId="77777777" w:rsidR="0036755A" w:rsidRPr="00D612FC" w:rsidRDefault="0036755A" w:rsidP="00D612FC">
            <w:pPr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36755A" w:rsidRPr="00D612FC" w14:paraId="0360368F" w14:textId="77777777" w:rsidTr="00D612FC">
        <w:tc>
          <w:tcPr>
            <w:tcW w:w="946" w:type="dxa"/>
          </w:tcPr>
          <w:p w14:paraId="462F59F7" w14:textId="36D5557A" w:rsidR="0036755A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14:paraId="219B3498" w14:textId="67D2091B" w:rsidR="0036755A" w:rsidRPr="00D612FC" w:rsidRDefault="0036755A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ascii="Times New Roman" w:hAnsi="Times New Roman"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21264527" w14:textId="77777777" w:rsidR="0036755A" w:rsidRPr="0036755A" w:rsidRDefault="0036755A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  <w:r w:rsidRPr="0036755A">
              <w:rPr>
                <w:rFonts w:ascii="Times New Roman" w:hAnsi="Times New Roman" w:cs="2  Nazanin"/>
                <w:sz w:val="20"/>
                <w:szCs w:val="20"/>
              </w:rPr>
              <w:t>Sleep disorders in people with rotational shifts and its association with substance abuse</w:t>
            </w:r>
          </w:p>
          <w:p w14:paraId="5A3D7938" w14:textId="510E0017" w:rsidR="0036755A" w:rsidRPr="00D612FC" w:rsidRDefault="0036755A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Times New Roman" w:hAnsi="Times New Roman" w:cs="2  Nazanin"/>
                <w:sz w:val="20"/>
                <w:szCs w:val="20"/>
              </w:rPr>
            </w:pPr>
          </w:p>
        </w:tc>
      </w:tr>
      <w:tr w:rsidR="00F44673" w:rsidRPr="00D612FC" w14:paraId="7574BCE1" w14:textId="77777777" w:rsidTr="00D612FC">
        <w:tc>
          <w:tcPr>
            <w:tcW w:w="946" w:type="dxa"/>
          </w:tcPr>
          <w:p w14:paraId="79718CFB" w14:textId="5AC589A6" w:rsidR="00F44673" w:rsidRPr="00D612FC" w:rsidRDefault="00D612FC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r w:rsidRPr="00D612FC">
              <w:rPr>
                <w:rFonts w:ascii="Times New Roman" w:hAnsi="Times New Roman" w:cs="2  Nazani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14:paraId="143A65D5" w14:textId="4D096CCF" w:rsidR="00F44673" w:rsidRPr="00D612FC" w:rsidRDefault="00F44673" w:rsidP="00D612FC">
            <w:pPr>
              <w:bidi w:val="0"/>
              <w:jc w:val="center"/>
              <w:rPr>
                <w:rFonts w:ascii="Times New Roman" w:hAnsi="Times New Roman" w:cs="2  Nazanin"/>
                <w:sz w:val="20"/>
                <w:szCs w:val="20"/>
              </w:rPr>
            </w:pPr>
            <w:proofErr w:type="spellStart"/>
            <w:proofErr w:type="gramStart"/>
            <w:r w:rsidRPr="00D612FC">
              <w:rPr>
                <w:rFonts w:cs="2  Nazanin"/>
                <w:sz w:val="20"/>
                <w:szCs w:val="20"/>
              </w:rPr>
              <w:t>Dr.Medi.KHodamoradi</w:t>
            </w:r>
            <w:proofErr w:type="spellEnd"/>
            <w:proofErr w:type="gramEnd"/>
          </w:p>
        </w:tc>
        <w:tc>
          <w:tcPr>
            <w:tcW w:w="7230" w:type="dxa"/>
          </w:tcPr>
          <w:p w14:paraId="57679D53" w14:textId="77777777" w:rsidR="00F44673" w:rsidRPr="00D612FC" w:rsidRDefault="00F44673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Courier New" w:eastAsia="Times New Roman" w:hAnsi="Courier New" w:cs="2  Nazanin"/>
                <w:sz w:val="20"/>
                <w:szCs w:val="20"/>
                <w:lang w:val="en"/>
              </w:rPr>
            </w:pPr>
            <w:r w:rsidRPr="00D612FC">
              <w:rPr>
                <w:rFonts w:cs="2  Nazanin"/>
                <w:sz w:val="20"/>
                <w:szCs w:val="20"/>
              </w:rPr>
              <w:t>Neurobiology of addiction</w:t>
            </w:r>
          </w:p>
          <w:p w14:paraId="1F615E8B" w14:textId="3A8D3CF0" w:rsidR="00882E74" w:rsidRPr="00D612FC" w:rsidRDefault="00882E74" w:rsidP="00D61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Courier New" w:eastAsia="Times New Roman" w:hAnsi="Courier New" w:cs="2  Nazanin"/>
                <w:sz w:val="20"/>
                <w:szCs w:val="20"/>
                <w:lang w:val="en"/>
              </w:rPr>
            </w:pPr>
          </w:p>
        </w:tc>
      </w:tr>
    </w:tbl>
    <w:p w14:paraId="32CF8717" w14:textId="77777777" w:rsidR="00A84520" w:rsidRPr="00D612FC" w:rsidRDefault="00A84520" w:rsidP="00D612FC">
      <w:pPr>
        <w:jc w:val="center"/>
        <w:rPr>
          <w:rFonts w:cs="2  Nazanin" w:hint="cs"/>
          <w:sz w:val="20"/>
          <w:szCs w:val="20"/>
        </w:rPr>
      </w:pPr>
    </w:p>
    <w:sectPr w:rsidR="00A84520" w:rsidRPr="00D612FC" w:rsidSect="009E7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MzU2N7A0MTE1szBU0lEKTi0uzszPAykwrAUAoh5bSCwAAAA="/>
  </w:docVars>
  <w:rsids>
    <w:rsidRoot w:val="00D73CEF"/>
    <w:rsid w:val="00001D4B"/>
    <w:rsid w:val="000F6301"/>
    <w:rsid w:val="001D3966"/>
    <w:rsid w:val="003327E5"/>
    <w:rsid w:val="0036755A"/>
    <w:rsid w:val="003B29E8"/>
    <w:rsid w:val="0044352B"/>
    <w:rsid w:val="00755225"/>
    <w:rsid w:val="007D085F"/>
    <w:rsid w:val="00882E74"/>
    <w:rsid w:val="009E778D"/>
    <w:rsid w:val="00A420D7"/>
    <w:rsid w:val="00A84520"/>
    <w:rsid w:val="00AD2333"/>
    <w:rsid w:val="00C35FE2"/>
    <w:rsid w:val="00D612FC"/>
    <w:rsid w:val="00D73CEF"/>
    <w:rsid w:val="00EF7E40"/>
    <w:rsid w:val="00F110B2"/>
    <w:rsid w:val="00F44673"/>
    <w:rsid w:val="00F5061B"/>
    <w:rsid w:val="00F77527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DB643ED"/>
  <w15:chartTrackingRefBased/>
  <w15:docId w15:val="{6691DA1F-4B3E-40E1-905D-3C664D5F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Borhan</dc:creator>
  <cp:keywords/>
  <dc:description/>
  <cp:lastModifiedBy>Tahghighat-Rohami</cp:lastModifiedBy>
  <cp:revision>18</cp:revision>
  <dcterms:created xsi:type="dcterms:W3CDTF">2022-04-30T04:09:00Z</dcterms:created>
  <dcterms:modified xsi:type="dcterms:W3CDTF">2022-04-30T05:56:00Z</dcterms:modified>
</cp:coreProperties>
</file>